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5C04" w14:textId="77777777" w:rsidR="00F73828" w:rsidRPr="00F73828" w:rsidRDefault="00F73828" w:rsidP="00F73828">
      <w:pPr>
        <w:spacing w:after="100" w:line="240" w:lineRule="auto"/>
        <w:rPr>
          <w:rFonts w:ascii="Times New Roman" w:eastAsia="Times New Roman" w:hAnsi="Times New Roman" w:cs="Times New Roman"/>
          <w:sz w:val="24"/>
          <w:szCs w:val="24"/>
          <w:lang w:eastAsia="fr-FR"/>
        </w:rPr>
      </w:pPr>
    </w:p>
    <w:tbl>
      <w:tblPr>
        <w:tblW w:w="9000" w:type="dxa"/>
        <w:jc w:val="center"/>
        <w:tblCellSpacing w:w="0" w:type="dxa"/>
        <w:tblCellMar>
          <w:left w:w="0" w:type="dxa"/>
          <w:right w:w="0" w:type="dxa"/>
        </w:tblCellMar>
        <w:tblLook w:val="04A0" w:firstRow="1" w:lastRow="0" w:firstColumn="1" w:lastColumn="0" w:noHBand="0" w:noVBand="1"/>
      </w:tblPr>
      <w:tblGrid>
        <w:gridCol w:w="1410"/>
        <w:gridCol w:w="7582"/>
        <w:gridCol w:w="8"/>
      </w:tblGrid>
      <w:tr w:rsidR="009A7C59" w:rsidRPr="00F73828" w14:paraId="2F8AF4B9" w14:textId="77777777" w:rsidTr="00F73828">
        <w:trPr>
          <w:tblCellSpacing w:w="0" w:type="dxa"/>
          <w:jc w:val="center"/>
        </w:trPr>
        <w:tc>
          <w:tcPr>
            <w:tcW w:w="1350" w:type="dxa"/>
            <w:vMerge w:val="restart"/>
            <w:shd w:val="clear" w:color="auto" w:fill="3399CC"/>
            <w:vAlign w:val="center"/>
            <w:hideMark/>
          </w:tcPr>
          <w:p w14:paraId="687EE92E" w14:textId="1DECD810" w:rsidR="00F73828" w:rsidRPr="00F73828" w:rsidRDefault="009A7C59" w:rsidP="00F73828">
            <w:pPr>
              <w:spacing w:after="0" w:line="240" w:lineRule="auto"/>
              <w:jc w:val="center"/>
              <w:rPr>
                <w:rFonts w:ascii="Arial" w:eastAsia="Times New Roman" w:hAnsi="Arial" w:cs="Arial"/>
                <w:color w:val="FFFFFF"/>
                <w:sz w:val="23"/>
                <w:szCs w:val="23"/>
                <w:lang w:eastAsia="fr-FR"/>
              </w:rPr>
            </w:pPr>
            <w:r>
              <w:rPr>
                <w:noProof/>
              </w:rPr>
              <w:drawing>
                <wp:inline distT="0" distB="0" distL="0" distR="0" wp14:anchorId="2229AB24" wp14:editId="40344C71">
                  <wp:extent cx="885871" cy="82232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1002236" cy="930343"/>
                          </a:xfrm>
                          <a:prstGeom prst="rect">
                            <a:avLst/>
                          </a:prstGeom>
                        </pic:spPr>
                      </pic:pic>
                    </a:graphicData>
                  </a:graphic>
                </wp:inline>
              </w:drawing>
            </w:r>
          </w:p>
        </w:tc>
        <w:tc>
          <w:tcPr>
            <w:tcW w:w="0" w:type="auto"/>
            <w:shd w:val="clear" w:color="auto" w:fill="3399CC"/>
            <w:vAlign w:val="center"/>
            <w:hideMark/>
          </w:tcPr>
          <w:p w14:paraId="50349C93" w14:textId="77777777" w:rsidR="00F73828" w:rsidRDefault="00F73828" w:rsidP="00F73828">
            <w:pPr>
              <w:spacing w:after="0" w:line="300" w:lineRule="atLeast"/>
              <w:jc w:val="both"/>
              <w:outlineLvl w:val="2"/>
              <w:rPr>
                <w:rFonts w:ascii="Arial" w:eastAsia="Times New Roman" w:hAnsi="Arial" w:cs="Arial"/>
                <w:b/>
                <w:bCs/>
                <w:color w:val="FFFFFF"/>
                <w:sz w:val="32"/>
                <w:szCs w:val="32"/>
                <w:lang w:eastAsia="fr-FR"/>
              </w:rPr>
            </w:pPr>
          </w:p>
          <w:p w14:paraId="67C480EB" w14:textId="51945797" w:rsidR="00F73828" w:rsidRPr="00F73828" w:rsidRDefault="009A7C59" w:rsidP="00F73828">
            <w:pPr>
              <w:spacing w:after="0" w:line="300" w:lineRule="atLeast"/>
              <w:jc w:val="both"/>
              <w:outlineLvl w:val="2"/>
              <w:rPr>
                <w:rFonts w:ascii="Arial" w:eastAsia="Times New Roman" w:hAnsi="Arial" w:cs="Arial"/>
                <w:b/>
                <w:bCs/>
                <w:color w:val="FFFFFF"/>
                <w:sz w:val="32"/>
                <w:szCs w:val="32"/>
                <w:lang w:eastAsia="fr-FR"/>
              </w:rPr>
            </w:pPr>
            <w:r>
              <w:rPr>
                <w:rFonts w:ascii="Arial" w:eastAsia="Times New Roman" w:hAnsi="Arial" w:cs="Arial"/>
                <w:b/>
                <w:bCs/>
                <w:color w:val="FFFFFF"/>
                <w:sz w:val="32"/>
                <w:szCs w:val="32"/>
                <w:lang w:eastAsia="fr-FR"/>
              </w:rPr>
              <w:t xml:space="preserve">    </w:t>
            </w:r>
            <w:r w:rsidR="00F73828" w:rsidRPr="00F73828">
              <w:rPr>
                <w:rFonts w:ascii="Arial" w:eastAsia="Times New Roman" w:hAnsi="Arial" w:cs="Arial"/>
                <w:b/>
                <w:bCs/>
                <w:color w:val="FFFFFF"/>
                <w:sz w:val="32"/>
                <w:szCs w:val="32"/>
                <w:lang w:eastAsia="fr-FR"/>
              </w:rPr>
              <w:t>UFC-Que Choisir de Mont de Marsan</w:t>
            </w:r>
          </w:p>
        </w:tc>
        <w:tc>
          <w:tcPr>
            <w:tcW w:w="0" w:type="auto"/>
            <w:shd w:val="clear" w:color="auto" w:fill="3399CC"/>
            <w:vAlign w:val="center"/>
            <w:hideMark/>
          </w:tcPr>
          <w:p w14:paraId="7892B732" w14:textId="77777777" w:rsidR="00F73828" w:rsidRPr="00F73828" w:rsidRDefault="00F73828" w:rsidP="00F73828">
            <w:pPr>
              <w:spacing w:after="0" w:line="240" w:lineRule="auto"/>
              <w:jc w:val="both"/>
              <w:rPr>
                <w:rFonts w:ascii="Arial" w:eastAsia="Times New Roman" w:hAnsi="Arial" w:cs="Arial"/>
                <w:color w:val="FFFFFF"/>
                <w:sz w:val="32"/>
                <w:szCs w:val="32"/>
                <w:lang w:eastAsia="fr-FR"/>
              </w:rPr>
            </w:pPr>
          </w:p>
        </w:tc>
      </w:tr>
      <w:tr w:rsidR="00F73828" w:rsidRPr="00F73828" w14:paraId="68FA87C1" w14:textId="77777777" w:rsidTr="00F73828">
        <w:trPr>
          <w:trHeight w:val="544"/>
          <w:tblCellSpacing w:w="0" w:type="dxa"/>
          <w:jc w:val="center"/>
        </w:trPr>
        <w:tc>
          <w:tcPr>
            <w:tcW w:w="0" w:type="auto"/>
            <w:vMerge/>
            <w:vAlign w:val="center"/>
            <w:hideMark/>
          </w:tcPr>
          <w:p w14:paraId="00DB24EB" w14:textId="77777777" w:rsidR="00F73828" w:rsidRPr="00F73828" w:rsidRDefault="00F73828" w:rsidP="00F73828">
            <w:pPr>
              <w:spacing w:after="0" w:line="240" w:lineRule="auto"/>
              <w:jc w:val="center"/>
              <w:rPr>
                <w:rFonts w:ascii="Arial" w:eastAsia="Times New Roman" w:hAnsi="Arial" w:cs="Arial"/>
                <w:color w:val="FFFFFF"/>
                <w:sz w:val="23"/>
                <w:szCs w:val="23"/>
                <w:lang w:eastAsia="fr-FR"/>
              </w:rPr>
            </w:pPr>
          </w:p>
        </w:tc>
        <w:tc>
          <w:tcPr>
            <w:tcW w:w="9000" w:type="dxa"/>
            <w:gridSpan w:val="2"/>
            <w:shd w:val="clear" w:color="auto" w:fill="3399CC"/>
            <w:vAlign w:val="center"/>
            <w:hideMark/>
          </w:tcPr>
          <w:p w14:paraId="7223F853" w14:textId="77777777" w:rsidR="00F73828" w:rsidRPr="00F73828" w:rsidRDefault="00F73828" w:rsidP="00F73828">
            <w:pPr>
              <w:spacing w:after="0" w:line="0" w:lineRule="atLeast"/>
              <w:jc w:val="both"/>
              <w:rPr>
                <w:rFonts w:ascii="Arial" w:eastAsia="Times New Roman" w:hAnsi="Arial" w:cs="Arial"/>
                <w:color w:val="FFFFFF"/>
                <w:sz w:val="32"/>
                <w:szCs w:val="32"/>
                <w:lang w:eastAsia="fr-FR"/>
              </w:rPr>
            </w:pPr>
          </w:p>
        </w:tc>
      </w:tr>
    </w:tbl>
    <w:p w14:paraId="6E36E960" w14:textId="77777777" w:rsidR="00F73828" w:rsidRPr="00F73828" w:rsidRDefault="00F73828" w:rsidP="00F73828">
      <w:pPr>
        <w:spacing w:after="100" w:line="240" w:lineRule="auto"/>
        <w:jc w:val="center"/>
        <w:rPr>
          <w:rFonts w:ascii="Times New Roman" w:eastAsia="Times New Roman" w:hAnsi="Times New Roman" w:cs="Times New Roman"/>
          <w:vanish/>
          <w:sz w:val="24"/>
          <w:szCs w:val="24"/>
          <w:lang w:eastAsia="fr-FR"/>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73828" w:rsidRPr="00F73828" w14:paraId="12795459" w14:textId="77777777" w:rsidTr="00F73828">
        <w:trPr>
          <w:tblCellSpacing w:w="0" w:type="dxa"/>
          <w:jc w:val="center"/>
        </w:trPr>
        <w:tc>
          <w:tcPr>
            <w:tcW w:w="5000" w:type="pct"/>
            <w:vAlign w:val="center"/>
            <w:hideMark/>
          </w:tcPr>
          <w:p w14:paraId="66083F3A" w14:textId="656E8B94" w:rsidR="00F73828" w:rsidRDefault="00F73828"/>
          <w:tbl>
            <w:tblPr>
              <w:tblW w:w="5000" w:type="pct"/>
              <w:tblCellMar>
                <w:left w:w="0" w:type="dxa"/>
                <w:right w:w="0" w:type="dxa"/>
              </w:tblCellMar>
              <w:tblLook w:val="04A0" w:firstRow="1" w:lastRow="0" w:firstColumn="1" w:lastColumn="0" w:noHBand="0" w:noVBand="1"/>
            </w:tblPr>
            <w:tblGrid>
              <w:gridCol w:w="9000"/>
            </w:tblGrid>
            <w:tr w:rsidR="00F73828" w:rsidRPr="00F73828" w14:paraId="6ED998CE" w14:textId="77777777">
              <w:tc>
                <w:tcPr>
                  <w:tcW w:w="5000" w:type="pct"/>
                  <w:hideMark/>
                </w:tcPr>
                <w:p w14:paraId="4BA40827" w14:textId="31B80843" w:rsidR="00F73828" w:rsidRPr="00F73828" w:rsidRDefault="00DF457B" w:rsidP="00F73828">
                  <w:pPr>
                    <w:spacing w:before="100" w:beforeAutospacing="1" w:after="100" w:afterAutospacing="1" w:line="240" w:lineRule="auto"/>
                    <w:rPr>
                      <w:rFonts w:ascii="Helvetica" w:eastAsia="Times New Roman" w:hAnsi="Helvetica" w:cs="Helvetica"/>
                      <w:color w:val="313131"/>
                      <w:sz w:val="24"/>
                      <w:szCs w:val="24"/>
                      <w:lang w:eastAsia="fr-FR"/>
                    </w:rPr>
                  </w:pPr>
                  <w:r>
                    <w:rPr>
                      <w:rFonts w:ascii="Times New Roman" w:eastAsia="Times New Roman" w:hAnsi="Times New Roman" w:cs="Times New Roman"/>
                      <w:b/>
                      <w:bCs/>
                      <w:color w:val="313131"/>
                      <w:sz w:val="48"/>
                      <w:szCs w:val="48"/>
                      <w:lang w:eastAsia="fr-FR"/>
                    </w:rPr>
                    <w:t xml:space="preserve"> </w:t>
                  </w:r>
                  <w:r w:rsidR="00F73828" w:rsidRPr="00F73828">
                    <w:rPr>
                      <w:rFonts w:ascii="Times New Roman" w:eastAsia="Times New Roman" w:hAnsi="Times New Roman" w:cs="Times New Roman"/>
                      <w:b/>
                      <w:bCs/>
                      <w:color w:val="313131"/>
                      <w:sz w:val="48"/>
                      <w:szCs w:val="48"/>
                      <w:lang w:eastAsia="fr-FR"/>
                    </w:rPr>
                    <w:t>Assurance vie</w:t>
                  </w:r>
                </w:p>
              </w:tc>
            </w:tr>
          </w:tbl>
          <w:p w14:paraId="2CC81278" w14:textId="77777777" w:rsidR="00F73828" w:rsidRPr="00F73828" w:rsidRDefault="00F73828" w:rsidP="00F73828">
            <w:pPr>
              <w:spacing w:after="0" w:line="240" w:lineRule="auto"/>
              <w:rPr>
                <w:rFonts w:ascii="Times New Roman" w:eastAsia="Times New Roman" w:hAnsi="Times New Roman" w:cs="Times New Roman"/>
                <w:sz w:val="24"/>
                <w:szCs w:val="24"/>
                <w:lang w:eastAsia="fr-FR"/>
              </w:rPr>
            </w:pPr>
          </w:p>
        </w:tc>
      </w:tr>
    </w:tbl>
    <w:p w14:paraId="53A58A23" w14:textId="77777777" w:rsidR="00F73828" w:rsidRPr="00F73828" w:rsidRDefault="00F73828" w:rsidP="00F73828">
      <w:pPr>
        <w:spacing w:after="0" w:line="240" w:lineRule="auto"/>
        <w:rPr>
          <w:rFonts w:ascii="Times New Roman" w:eastAsia="Times New Roman" w:hAnsi="Times New Roman" w:cs="Times New Roman"/>
          <w:sz w:val="24"/>
          <w:szCs w:val="24"/>
          <w:lang w:eastAsia="fr-FR"/>
        </w:rPr>
      </w:pPr>
      <w:r w:rsidRPr="00F73828">
        <w:rPr>
          <w:rFonts w:ascii="Times New Roman" w:eastAsia="Times New Roman" w:hAnsi="Times New Roman" w:cs="Times New Roman"/>
          <w:sz w:val="24"/>
          <w:szCs w:val="24"/>
          <w:lang w:eastAsia="fr-FR"/>
        </w:rPr>
        <w:br/>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73828" w:rsidRPr="00F73828" w14:paraId="33F53FB7" w14:textId="77777777" w:rsidTr="00F73828">
        <w:trPr>
          <w:tblCellSpacing w:w="0" w:type="dxa"/>
          <w:jc w:val="center"/>
        </w:trPr>
        <w:tc>
          <w:tcPr>
            <w:tcW w:w="5000" w:type="pct"/>
            <w:vAlign w:val="center"/>
            <w:hideMark/>
          </w:tcPr>
          <w:tbl>
            <w:tblPr>
              <w:tblW w:w="8385" w:type="dxa"/>
              <w:tblCellMar>
                <w:left w:w="0" w:type="dxa"/>
                <w:right w:w="0" w:type="dxa"/>
              </w:tblCellMar>
              <w:tblLook w:val="04A0" w:firstRow="1" w:lastRow="0" w:firstColumn="1" w:lastColumn="0" w:noHBand="0" w:noVBand="1"/>
            </w:tblPr>
            <w:tblGrid>
              <w:gridCol w:w="8385"/>
            </w:tblGrid>
            <w:tr w:rsidR="00F73828" w:rsidRPr="00F73828" w14:paraId="62B64D3A" w14:textId="77777777">
              <w:tc>
                <w:tcPr>
                  <w:tcW w:w="5000" w:type="pct"/>
                  <w:hideMark/>
                </w:tcPr>
                <w:p w14:paraId="10B13636" w14:textId="77777777" w:rsidR="00F73828" w:rsidRPr="00F73828" w:rsidRDefault="00F73828" w:rsidP="00F73828">
                  <w:pPr>
                    <w:spacing w:before="100" w:beforeAutospacing="1" w:after="100" w:afterAutospacing="1" w:line="240" w:lineRule="auto"/>
                    <w:rPr>
                      <w:rFonts w:ascii="Helvetica" w:eastAsia="Times New Roman" w:hAnsi="Helvetica" w:cs="Helvetica"/>
                      <w:color w:val="313131"/>
                      <w:sz w:val="24"/>
                      <w:szCs w:val="24"/>
                      <w:lang w:eastAsia="fr-FR"/>
                    </w:rPr>
                  </w:pPr>
                  <w:r w:rsidRPr="00F73828">
                    <w:rPr>
                      <w:rFonts w:ascii="Times New Roman" w:eastAsia="Times New Roman" w:hAnsi="Times New Roman" w:cs="Times New Roman"/>
                      <w:b/>
                      <w:bCs/>
                      <w:color w:val="313131"/>
                      <w:sz w:val="36"/>
                      <w:szCs w:val="36"/>
                      <w:lang w:eastAsia="fr-FR"/>
                    </w:rPr>
                    <w:t>Le palmarès des taux de rendement 2020</w:t>
                  </w:r>
                </w:p>
                <w:p w14:paraId="797972C1" w14:textId="2821EF0B" w:rsidR="00F73828" w:rsidRPr="00F73828" w:rsidRDefault="00F73828" w:rsidP="00F73828">
                  <w:pPr>
                    <w:spacing w:before="100" w:beforeAutospacing="1" w:after="0" w:line="240" w:lineRule="auto"/>
                    <w:rPr>
                      <w:rFonts w:ascii="Helvetica" w:eastAsia="Times New Roman" w:hAnsi="Helvetica" w:cs="Helvetica"/>
                      <w:color w:val="313131"/>
                      <w:sz w:val="24"/>
                      <w:szCs w:val="24"/>
                      <w:lang w:eastAsia="fr-FR"/>
                    </w:rPr>
                  </w:pPr>
                  <w:r w:rsidRPr="00F73828">
                    <w:rPr>
                      <w:rFonts w:ascii="Times New Roman" w:eastAsia="Times New Roman" w:hAnsi="Times New Roman" w:cs="Times New Roman"/>
                      <w:color w:val="313131"/>
                      <w:sz w:val="24"/>
                      <w:szCs w:val="24"/>
                      <w:lang w:eastAsia="fr-FR"/>
                    </w:rPr>
                    <w:t xml:space="preserve">Publié </w:t>
                  </w:r>
                  <w:r w:rsidRPr="00F73828">
                    <w:rPr>
                      <w:rFonts w:ascii="Times New Roman" w:eastAsia="Times New Roman" w:hAnsi="Times New Roman" w:cs="Times New Roman"/>
                      <w:color w:val="313131"/>
                      <w:sz w:val="24"/>
                      <w:szCs w:val="24"/>
                      <w:lang w:eastAsia="fr-FR"/>
                    </w:rPr>
                    <w:t>le :</w:t>
                  </w:r>
                  <w:r w:rsidRPr="00F73828">
                    <w:rPr>
                      <w:rFonts w:ascii="Times New Roman" w:eastAsia="Times New Roman" w:hAnsi="Times New Roman" w:cs="Times New Roman"/>
                      <w:color w:val="313131"/>
                      <w:sz w:val="24"/>
                      <w:szCs w:val="24"/>
                      <w:lang w:eastAsia="fr-FR"/>
                    </w:rPr>
                    <w:t xml:space="preserve"> 27/01/2021 par UFC que Choisir </w:t>
                  </w:r>
                  <w:r w:rsidRPr="00F73828">
                    <w:rPr>
                      <w:rFonts w:ascii="Helvetica" w:eastAsia="Times New Roman" w:hAnsi="Helvetica" w:cs="Helvetica"/>
                      <w:color w:val="313131"/>
                      <w:sz w:val="24"/>
                      <w:szCs w:val="24"/>
                      <w:lang w:eastAsia="fr-FR"/>
                    </w:rPr>
                    <w:t xml:space="preserve">Élisa </w:t>
                  </w:r>
                  <w:proofErr w:type="spellStart"/>
                  <w:r w:rsidRPr="00F73828">
                    <w:rPr>
                      <w:rFonts w:ascii="Helvetica" w:eastAsia="Times New Roman" w:hAnsi="Helvetica" w:cs="Helvetica"/>
                      <w:color w:val="313131"/>
                      <w:sz w:val="24"/>
                      <w:szCs w:val="24"/>
                      <w:lang w:eastAsia="fr-FR"/>
                    </w:rPr>
                    <w:t>Oudin</w:t>
                  </w:r>
                  <w:proofErr w:type="spellEnd"/>
                </w:p>
                <w:p w14:paraId="43345EB5" w14:textId="77777777" w:rsidR="00F73828" w:rsidRPr="00F73828" w:rsidRDefault="00F73828" w:rsidP="00F73828">
                  <w:pPr>
                    <w:spacing w:before="100" w:beforeAutospacing="1" w:after="0" w:line="240" w:lineRule="auto"/>
                    <w:rPr>
                      <w:rFonts w:ascii="Helvetica" w:eastAsia="Times New Roman" w:hAnsi="Helvetica" w:cs="Helvetica"/>
                      <w:color w:val="313131"/>
                      <w:sz w:val="24"/>
                      <w:szCs w:val="24"/>
                      <w:lang w:eastAsia="fr-FR"/>
                    </w:rPr>
                  </w:pPr>
                  <w:r w:rsidRPr="00F73828">
                    <w:rPr>
                      <w:rFonts w:ascii="Helvetica" w:eastAsia="Times New Roman" w:hAnsi="Helvetica" w:cs="Helvetica"/>
                      <w:color w:val="313131"/>
                      <w:sz w:val="24"/>
                      <w:szCs w:val="24"/>
                      <w:lang w:eastAsia="fr-FR"/>
                    </w:rPr>
                    <w:t> </w:t>
                  </w:r>
                </w:p>
                <w:p w14:paraId="4B2224B0" w14:textId="77777777" w:rsidR="00F73828" w:rsidRPr="00F73828" w:rsidRDefault="00F73828" w:rsidP="00F73828">
                  <w:pPr>
                    <w:spacing w:before="100" w:beforeAutospacing="1" w:after="0" w:line="240" w:lineRule="auto"/>
                    <w:rPr>
                      <w:rFonts w:ascii="Helvetica" w:eastAsia="Times New Roman" w:hAnsi="Helvetica" w:cs="Helvetica"/>
                      <w:color w:val="313131"/>
                      <w:sz w:val="24"/>
                      <w:szCs w:val="24"/>
                      <w:lang w:eastAsia="fr-FR"/>
                    </w:rPr>
                  </w:pPr>
                  <w:r w:rsidRPr="00F73828">
                    <w:rPr>
                      <w:rFonts w:ascii="Times New Roman" w:eastAsia="Times New Roman" w:hAnsi="Times New Roman" w:cs="Times New Roman"/>
                      <w:color w:val="313131"/>
                      <w:sz w:val="24"/>
                      <w:szCs w:val="24"/>
                      <w:lang w:eastAsia="fr-FR"/>
                    </w:rPr>
                    <w:t>Les premiers taux de rendement des assurances vie en euros publiés au cours du mois de janvier confirment un nouveau reflux. Les performances varient autour de 1% en moyenne pour l’année 2020 et plafonnent à 2% max.</w:t>
                  </w:r>
                </w:p>
                <w:p w14:paraId="77E65318" w14:textId="77777777" w:rsidR="00F73828" w:rsidRPr="00F73828" w:rsidRDefault="00F73828" w:rsidP="00F73828">
                  <w:pPr>
                    <w:spacing w:before="100" w:beforeAutospacing="1" w:after="0" w:line="240" w:lineRule="auto"/>
                    <w:rPr>
                      <w:rFonts w:ascii="Helvetica" w:eastAsia="Times New Roman" w:hAnsi="Helvetica" w:cs="Helvetica"/>
                      <w:color w:val="313131"/>
                      <w:sz w:val="24"/>
                      <w:szCs w:val="24"/>
                      <w:lang w:eastAsia="fr-FR"/>
                    </w:rPr>
                  </w:pPr>
                  <w:r w:rsidRPr="00F73828">
                    <w:rPr>
                      <w:rFonts w:ascii="Times New Roman" w:eastAsia="Times New Roman" w:hAnsi="Times New Roman" w:cs="Times New Roman"/>
                      <w:color w:val="313131"/>
                      <w:sz w:val="24"/>
                      <w:szCs w:val="24"/>
                      <w:lang w:eastAsia="fr-FR"/>
                    </w:rPr>
                    <w:t xml:space="preserve">Pas de miracle. Dans un contexte de </w:t>
                  </w:r>
                  <w:hyperlink r:id="rId5" w:history="1">
                    <w:r w:rsidRPr="00F73828">
                      <w:rPr>
                        <w:rFonts w:ascii="Times New Roman" w:eastAsia="Times New Roman" w:hAnsi="Times New Roman" w:cs="Times New Roman"/>
                        <w:color w:val="0000FF"/>
                        <w:sz w:val="24"/>
                        <w:szCs w:val="24"/>
                        <w:u w:val="single"/>
                        <w:lang w:eastAsia="fr-FR"/>
                      </w:rPr>
                      <w:t>crise sanitaire</w:t>
                    </w:r>
                  </w:hyperlink>
                  <w:r w:rsidRPr="00F73828">
                    <w:rPr>
                      <w:rFonts w:ascii="Times New Roman" w:eastAsia="Times New Roman" w:hAnsi="Times New Roman" w:cs="Times New Roman"/>
                      <w:color w:val="313131"/>
                      <w:sz w:val="24"/>
                      <w:szCs w:val="24"/>
                      <w:lang w:eastAsia="fr-FR"/>
                    </w:rPr>
                    <w:t xml:space="preserve">, l’année 2020 s’est traduite par des taux d’intérêt des banques centrales proches de zéro, voire dans certains cas négatifs. Conséquence pour l’assurance vie garantie en </w:t>
                  </w:r>
                  <w:proofErr w:type="gramStart"/>
                  <w:r w:rsidRPr="00F73828">
                    <w:rPr>
                      <w:rFonts w:ascii="Times New Roman" w:eastAsia="Times New Roman" w:hAnsi="Times New Roman" w:cs="Times New Roman"/>
                      <w:color w:val="313131"/>
                      <w:sz w:val="24"/>
                      <w:szCs w:val="24"/>
                      <w:lang w:eastAsia="fr-FR"/>
                    </w:rPr>
                    <w:t>euros:</w:t>
                  </w:r>
                  <w:proofErr w:type="gramEnd"/>
                  <w:r w:rsidRPr="00F73828">
                    <w:rPr>
                      <w:rFonts w:ascii="Times New Roman" w:eastAsia="Times New Roman" w:hAnsi="Times New Roman" w:cs="Times New Roman"/>
                      <w:color w:val="313131"/>
                      <w:sz w:val="24"/>
                      <w:szCs w:val="24"/>
                      <w:lang w:eastAsia="fr-FR"/>
                    </w:rPr>
                    <w:t xml:space="preserve"> les taux rasent le sol. Ils atteignent en moyenne 1 à 1,2%. </w:t>
                  </w:r>
                  <w:hyperlink r:id="rId6" w:history="1">
                    <w:r w:rsidRPr="00F73828">
                      <w:rPr>
                        <w:rFonts w:ascii="Times New Roman" w:eastAsia="Times New Roman" w:hAnsi="Times New Roman" w:cs="Times New Roman"/>
                        <w:color w:val="0000FF"/>
                        <w:sz w:val="24"/>
                        <w:szCs w:val="24"/>
                        <w:u w:val="single"/>
                        <w:lang w:eastAsia="fr-FR"/>
                      </w:rPr>
                      <w:t>En 2019</w:t>
                    </w:r>
                  </w:hyperlink>
                  <w:r w:rsidRPr="00F73828">
                    <w:rPr>
                      <w:rFonts w:ascii="Times New Roman" w:eastAsia="Times New Roman" w:hAnsi="Times New Roman" w:cs="Times New Roman"/>
                      <w:color w:val="313131"/>
                      <w:sz w:val="24"/>
                      <w:szCs w:val="24"/>
                      <w:lang w:eastAsia="fr-FR"/>
                    </w:rPr>
                    <w:t>, les contrats affichaient en moyenne des taux de 1,45%. On observe ainsi en 2020, un nouveau fléchissement d’environ 0,35point, assez proche de l’</w:t>
                  </w:r>
                  <w:hyperlink r:id="rId7" w:history="1">
                    <w:r w:rsidRPr="00F73828">
                      <w:rPr>
                        <w:rFonts w:ascii="Times New Roman" w:eastAsia="Times New Roman" w:hAnsi="Times New Roman" w:cs="Times New Roman"/>
                        <w:color w:val="0000FF"/>
                        <w:sz w:val="24"/>
                        <w:szCs w:val="24"/>
                        <w:u w:val="single"/>
                        <w:lang w:eastAsia="fr-FR"/>
                      </w:rPr>
                      <w:t>érosion déjà constatée entre 2018 et 2019</w:t>
                    </w:r>
                  </w:hyperlink>
                  <w:r w:rsidRPr="00F73828">
                    <w:rPr>
                      <w:rFonts w:ascii="Helvetica" w:eastAsia="Times New Roman" w:hAnsi="Helvetica" w:cs="Helvetica"/>
                      <w:color w:val="313131"/>
                      <w:sz w:val="24"/>
                      <w:szCs w:val="24"/>
                      <w:lang w:eastAsia="fr-FR"/>
                    </w:rPr>
                    <w:t xml:space="preserve"> </w:t>
                  </w:r>
                  <w:r w:rsidRPr="00F73828">
                    <w:rPr>
                      <w:rFonts w:ascii="Times New Roman" w:eastAsia="Times New Roman" w:hAnsi="Times New Roman" w:cs="Times New Roman"/>
                      <w:color w:val="313131"/>
                      <w:sz w:val="24"/>
                      <w:szCs w:val="24"/>
                      <w:lang w:eastAsia="fr-FR"/>
                    </w:rPr>
                    <w:t xml:space="preserve">et les années précédentes. À force de se réduire années après année, les gains de l’assurance vie vont finir par devenir plus faibles que </w:t>
                  </w:r>
                  <w:proofErr w:type="gramStart"/>
                  <w:r w:rsidRPr="00F73828">
                    <w:rPr>
                      <w:rFonts w:ascii="Times New Roman" w:eastAsia="Times New Roman" w:hAnsi="Times New Roman" w:cs="Times New Roman"/>
                      <w:color w:val="313131"/>
                      <w:sz w:val="24"/>
                      <w:szCs w:val="24"/>
                      <w:lang w:eastAsia="fr-FR"/>
                    </w:rPr>
                    <w:t>l’inflation!</w:t>
                  </w:r>
                  <w:proofErr w:type="gramEnd"/>
                  <w:r w:rsidRPr="00F73828">
                    <w:rPr>
                      <w:rFonts w:ascii="Times New Roman" w:eastAsia="Times New Roman" w:hAnsi="Times New Roman" w:cs="Times New Roman"/>
                      <w:color w:val="313131"/>
                      <w:sz w:val="24"/>
                      <w:szCs w:val="24"/>
                      <w:lang w:eastAsia="fr-FR"/>
                    </w:rPr>
                    <w:t xml:space="preserve"> Reste que pour l’instant, ces fonds maintiennent leur qualité d’épargne sécurisée, sans perte de capital.</w:t>
                  </w:r>
                </w:p>
                <w:p w14:paraId="5A0EB3C8" w14:textId="77777777" w:rsidR="00F73828" w:rsidRPr="00F73828" w:rsidRDefault="00F73828" w:rsidP="00F73828">
                  <w:pPr>
                    <w:spacing w:before="100" w:beforeAutospacing="1" w:after="0" w:line="240" w:lineRule="auto"/>
                    <w:rPr>
                      <w:rFonts w:ascii="Helvetica" w:eastAsia="Times New Roman" w:hAnsi="Helvetica" w:cs="Helvetica"/>
                      <w:color w:val="313131"/>
                      <w:sz w:val="24"/>
                      <w:szCs w:val="24"/>
                      <w:lang w:eastAsia="fr-FR"/>
                    </w:rPr>
                  </w:pPr>
                  <w:r w:rsidRPr="00F73828">
                    <w:rPr>
                      <w:rFonts w:ascii="Helvetica" w:eastAsia="Times New Roman" w:hAnsi="Helvetica" w:cs="Helvetica"/>
                      <w:color w:val="313131"/>
                      <w:sz w:val="24"/>
                      <w:szCs w:val="24"/>
                      <w:lang w:eastAsia="fr-FR"/>
                    </w:rPr>
                    <w:t> </w:t>
                  </w:r>
                </w:p>
                <w:p w14:paraId="0113E770" w14:textId="77777777" w:rsidR="00F73828" w:rsidRPr="00F73828" w:rsidRDefault="00F73828" w:rsidP="00F73828">
                  <w:pPr>
                    <w:spacing w:before="100" w:beforeAutospacing="1" w:after="0" w:line="240" w:lineRule="auto"/>
                    <w:rPr>
                      <w:rFonts w:ascii="Helvetica" w:eastAsia="Times New Roman" w:hAnsi="Helvetica" w:cs="Helvetica"/>
                      <w:color w:val="313131"/>
                      <w:sz w:val="24"/>
                      <w:szCs w:val="24"/>
                      <w:lang w:eastAsia="fr-FR"/>
                    </w:rPr>
                  </w:pPr>
                  <w:r w:rsidRPr="00F73828">
                    <w:rPr>
                      <w:rFonts w:ascii="Times New Roman" w:eastAsia="Times New Roman" w:hAnsi="Times New Roman" w:cs="Times New Roman"/>
                      <w:b/>
                      <w:bCs/>
                      <w:color w:val="313131"/>
                      <w:sz w:val="36"/>
                      <w:szCs w:val="36"/>
                      <w:lang w:eastAsia="fr-FR"/>
                    </w:rPr>
                    <w:t>Les meilleurs taux se rapprochent de 2% net</w:t>
                  </w:r>
                </w:p>
                <w:p w14:paraId="73A256C0" w14:textId="7CAA87DC" w:rsidR="00F73828" w:rsidRPr="00F73828" w:rsidRDefault="00F73828" w:rsidP="00F73828">
                  <w:pPr>
                    <w:spacing w:before="100" w:beforeAutospacing="1" w:after="0" w:line="240" w:lineRule="auto"/>
                    <w:rPr>
                      <w:rFonts w:ascii="Helvetica" w:eastAsia="Times New Roman" w:hAnsi="Helvetica" w:cs="Helvetica"/>
                      <w:color w:val="313131"/>
                      <w:sz w:val="24"/>
                      <w:szCs w:val="24"/>
                      <w:lang w:eastAsia="fr-FR"/>
                    </w:rPr>
                  </w:pPr>
                  <w:proofErr w:type="gramStart"/>
                  <w:r w:rsidRPr="00F73828">
                    <w:rPr>
                      <w:rFonts w:ascii="Times New Roman" w:eastAsia="Times New Roman" w:hAnsi="Times New Roman" w:cs="Times New Roman"/>
                      <w:color w:val="313131"/>
                      <w:sz w:val="24"/>
                      <w:szCs w:val="24"/>
                      <w:lang w:eastAsia="fr-FR"/>
                    </w:rPr>
                    <w:t>Au final</w:t>
                  </w:r>
                  <w:proofErr w:type="gramEnd"/>
                  <w:r w:rsidRPr="00F73828">
                    <w:rPr>
                      <w:rFonts w:ascii="Times New Roman" w:eastAsia="Times New Roman" w:hAnsi="Times New Roman" w:cs="Times New Roman"/>
                      <w:color w:val="313131"/>
                      <w:sz w:val="24"/>
                      <w:szCs w:val="24"/>
                      <w:lang w:eastAsia="fr-FR"/>
                    </w:rPr>
                    <w:t xml:space="preserve">, les assurances vie en euros les mieux loties sont encore majoritairement proposées par des mutuelles. Leur taux se situent entre 1,6 et 1,9%. C’est le cas des contrats Asac-Fapès (1,85%), Afer (1,7%), la Mif (1,70%), la </w:t>
                  </w:r>
                  <w:r w:rsidRPr="00F73828">
                    <w:rPr>
                      <w:rFonts w:ascii="Times New Roman" w:eastAsia="Times New Roman" w:hAnsi="Times New Roman" w:cs="Times New Roman"/>
                      <w:color w:val="313131"/>
                      <w:sz w:val="24"/>
                      <w:szCs w:val="24"/>
                      <w:lang w:eastAsia="fr-FR"/>
                    </w:rPr>
                    <w:t>MAAF</w:t>
                  </w:r>
                  <w:r w:rsidRPr="00F73828">
                    <w:rPr>
                      <w:rFonts w:ascii="Times New Roman" w:eastAsia="Times New Roman" w:hAnsi="Times New Roman" w:cs="Times New Roman"/>
                      <w:color w:val="313131"/>
                      <w:sz w:val="24"/>
                      <w:szCs w:val="24"/>
                      <w:lang w:eastAsia="fr-FR"/>
                    </w:rPr>
                    <w:t xml:space="preserve"> (1,65%), GMF (1,65%) ou encore MACSF (1,55%). Ces derniers ont dû puiser dans les réserves pour continuer à servir des taux quelque peu rémunérateurs. </w:t>
                  </w:r>
                  <w:r w:rsidRPr="00F73828">
                    <w:rPr>
                      <w:rFonts w:ascii="Times New Roman" w:eastAsia="Times New Roman" w:hAnsi="Times New Roman" w:cs="Times New Roman"/>
                      <w:i/>
                      <w:iCs/>
                      <w:color w:val="313131"/>
                      <w:sz w:val="24"/>
                      <w:szCs w:val="24"/>
                      <w:lang w:eastAsia="fr-FR"/>
                    </w:rPr>
                    <w:t>« Grâce</w:t>
                  </w:r>
                  <w:r w:rsidRPr="00F73828">
                    <w:rPr>
                      <w:rFonts w:ascii="Times New Roman" w:eastAsia="Times New Roman" w:hAnsi="Times New Roman" w:cs="Times New Roman"/>
                      <w:i/>
                      <w:iCs/>
                      <w:color w:val="313131"/>
                      <w:sz w:val="24"/>
                      <w:szCs w:val="24"/>
                      <w:lang w:eastAsia="fr-FR"/>
                    </w:rPr>
                    <w:t xml:space="preserve"> aux précédentes dotations de notre provision pour participation aux bénéfices (PPB), nous sommes heureux d’offrir à nos clients une performance de 1,85% nette,</w:t>
                  </w:r>
                  <w:r w:rsidRPr="00F73828">
                    <w:rPr>
                      <w:rFonts w:ascii="Times New Roman" w:eastAsia="Times New Roman" w:hAnsi="Times New Roman" w:cs="Times New Roman"/>
                      <w:color w:val="313131"/>
                      <w:sz w:val="24"/>
                      <w:szCs w:val="24"/>
                      <w:lang w:eastAsia="fr-FR"/>
                    </w:rPr>
                    <w:t xml:space="preserve"> note par exemple Thomas Delannoy, directeur général d’Asac-Fapès. </w:t>
                  </w:r>
                  <w:r w:rsidRPr="00F73828">
                    <w:rPr>
                      <w:rFonts w:ascii="Times New Roman" w:eastAsia="Times New Roman" w:hAnsi="Times New Roman" w:cs="Times New Roman"/>
                      <w:i/>
                      <w:iCs/>
                      <w:color w:val="313131"/>
                      <w:sz w:val="24"/>
                      <w:szCs w:val="24"/>
                      <w:lang w:eastAsia="fr-FR"/>
                    </w:rPr>
                    <w:t>Mais il ne faudrait pas que cette situation se prolonge des années, au risque de faire fondre toutes les réserves</w:t>
                  </w:r>
                  <w:r w:rsidRPr="00F73828">
                    <w:rPr>
                      <w:rFonts w:ascii="Times New Roman" w:eastAsia="Times New Roman" w:hAnsi="Times New Roman" w:cs="Times New Roman"/>
                      <w:i/>
                      <w:iCs/>
                      <w:color w:val="313131"/>
                      <w:sz w:val="24"/>
                      <w:szCs w:val="24"/>
                      <w:lang w:eastAsia="fr-FR"/>
                    </w:rPr>
                    <w:t>. »</w:t>
                  </w:r>
                </w:p>
                <w:p w14:paraId="35E70441" w14:textId="77777777" w:rsidR="00F73828" w:rsidRPr="00F73828" w:rsidRDefault="00F73828" w:rsidP="00F73828">
                  <w:pPr>
                    <w:spacing w:before="100" w:beforeAutospacing="1" w:after="0" w:line="240" w:lineRule="auto"/>
                    <w:rPr>
                      <w:rFonts w:ascii="Helvetica" w:eastAsia="Times New Roman" w:hAnsi="Helvetica" w:cs="Helvetica"/>
                      <w:color w:val="313131"/>
                      <w:sz w:val="24"/>
                      <w:szCs w:val="24"/>
                      <w:lang w:eastAsia="fr-FR"/>
                    </w:rPr>
                  </w:pPr>
                  <w:r w:rsidRPr="00F73828">
                    <w:rPr>
                      <w:rFonts w:ascii="Times New Roman" w:eastAsia="Times New Roman" w:hAnsi="Times New Roman" w:cs="Times New Roman"/>
                      <w:b/>
                      <w:bCs/>
                      <w:color w:val="313131"/>
                      <w:sz w:val="24"/>
                      <w:szCs w:val="24"/>
                      <w:lang w:eastAsia="fr-FR"/>
                    </w:rPr>
                    <w:t>Dans la moyenne</w:t>
                  </w:r>
                  <w:r w:rsidRPr="00F73828">
                    <w:rPr>
                      <w:rFonts w:ascii="Times New Roman" w:eastAsia="Times New Roman" w:hAnsi="Times New Roman" w:cs="Times New Roman"/>
                      <w:color w:val="313131"/>
                      <w:sz w:val="24"/>
                      <w:szCs w:val="24"/>
                      <w:lang w:eastAsia="fr-FR"/>
                    </w:rPr>
                    <w:t>, c’est-à-dire entre 1 et 1,3%, se trouvent les contrats garantis en euros de la Maif (1,30%), Agipi (1,30%), la Macif (1,25%), Axa (1,20%) et BNP Paribas Cardif (1,10%).</w:t>
                  </w:r>
                </w:p>
                <w:p w14:paraId="7A9B0468" w14:textId="77777777" w:rsidR="00F73828" w:rsidRPr="00F73828" w:rsidRDefault="00F73828" w:rsidP="00F73828">
                  <w:pPr>
                    <w:spacing w:before="100" w:beforeAutospacing="1" w:after="0" w:line="240" w:lineRule="auto"/>
                    <w:rPr>
                      <w:rFonts w:ascii="Helvetica" w:eastAsia="Times New Roman" w:hAnsi="Helvetica" w:cs="Helvetica"/>
                      <w:color w:val="313131"/>
                      <w:sz w:val="24"/>
                      <w:szCs w:val="24"/>
                      <w:lang w:eastAsia="fr-FR"/>
                    </w:rPr>
                  </w:pPr>
                  <w:r w:rsidRPr="00F73828">
                    <w:rPr>
                      <w:rFonts w:ascii="Times New Roman" w:eastAsia="Times New Roman" w:hAnsi="Times New Roman" w:cs="Times New Roman"/>
                      <w:b/>
                      <w:bCs/>
                      <w:color w:val="313131"/>
                      <w:sz w:val="24"/>
                      <w:szCs w:val="24"/>
                      <w:lang w:eastAsia="fr-FR"/>
                    </w:rPr>
                    <w:t>En bas de l’échelle,</w:t>
                  </w:r>
                  <w:r w:rsidRPr="00F73828">
                    <w:rPr>
                      <w:rFonts w:ascii="Helvetica" w:eastAsia="Times New Roman" w:hAnsi="Helvetica" w:cs="Helvetica"/>
                      <w:color w:val="313131"/>
                      <w:sz w:val="24"/>
                      <w:szCs w:val="24"/>
                      <w:lang w:eastAsia="fr-FR"/>
                    </w:rPr>
                    <w:t xml:space="preserve"> </w:t>
                  </w:r>
                  <w:r w:rsidRPr="00F73828">
                    <w:rPr>
                      <w:rFonts w:ascii="Times New Roman" w:eastAsia="Times New Roman" w:hAnsi="Times New Roman" w:cs="Times New Roman"/>
                      <w:color w:val="313131"/>
                      <w:sz w:val="24"/>
                      <w:szCs w:val="24"/>
                      <w:lang w:eastAsia="fr-FR"/>
                    </w:rPr>
                    <w:t xml:space="preserve">les contrats présentent des taux inférieurs à 1%. On y trouve notamment le contrat géré par CNP pour la Banque postale, ce dernier plafonnait d’ailleurs déjà autour de 1% l’année dernière. C’était aussi le cas des contrats des Banques populaires et des Caisses d’épargne. Pour l’instant les deux réseaux du </w:t>
                  </w:r>
                  <w:r w:rsidRPr="00F73828">
                    <w:rPr>
                      <w:rFonts w:ascii="Times New Roman" w:eastAsia="Times New Roman" w:hAnsi="Times New Roman" w:cs="Times New Roman"/>
                      <w:color w:val="313131"/>
                      <w:sz w:val="24"/>
                      <w:szCs w:val="24"/>
                      <w:lang w:eastAsia="fr-FR"/>
                    </w:rPr>
                    <w:lastRenderedPageBreak/>
                    <w:t>groupe BPCE n’ont toujours pas communiqué leurs taux, mais il est très peu probable qu’il puisse dépasser les 1%.</w:t>
                  </w:r>
                </w:p>
                <w:p w14:paraId="2804FEF9" w14:textId="77777777" w:rsidR="00F73828" w:rsidRPr="00F73828" w:rsidRDefault="00F73828" w:rsidP="00F73828">
                  <w:pPr>
                    <w:spacing w:before="100" w:beforeAutospacing="1" w:after="0" w:line="240" w:lineRule="auto"/>
                    <w:rPr>
                      <w:rFonts w:ascii="Helvetica" w:eastAsia="Times New Roman" w:hAnsi="Helvetica" w:cs="Helvetica"/>
                      <w:color w:val="313131"/>
                      <w:sz w:val="24"/>
                      <w:szCs w:val="24"/>
                      <w:lang w:eastAsia="fr-FR"/>
                    </w:rPr>
                  </w:pPr>
                  <w:r w:rsidRPr="00F73828">
                    <w:rPr>
                      <w:rFonts w:ascii="Times New Roman" w:eastAsia="Times New Roman" w:hAnsi="Times New Roman" w:cs="Times New Roman"/>
                      <w:color w:val="313131"/>
                      <w:sz w:val="24"/>
                      <w:szCs w:val="24"/>
                      <w:lang w:eastAsia="fr-FR"/>
                    </w:rPr>
                    <w:t>À noter par ailleurs la fin de l’aventure assurance vie pour le groupe Carrefour. Ce dernier a en effet annoncé fin décembre dernier la clôture du contrat d’assurance vie en euros Carrefour Avenir. Il n’est plus possible de souscrire ce dernier auprès de l’enseigne. Seuls les contrats déjà en cours continueront d’être gérés. On attend pour l’instant son taux de rendement pour 2020.</w:t>
                  </w:r>
                </w:p>
              </w:tc>
            </w:tr>
          </w:tbl>
          <w:p w14:paraId="06BDA1CF" w14:textId="77777777" w:rsidR="00F73828" w:rsidRPr="00F73828" w:rsidRDefault="00F73828" w:rsidP="00F73828">
            <w:pPr>
              <w:spacing w:after="0" w:line="240" w:lineRule="auto"/>
              <w:rPr>
                <w:rFonts w:ascii="Times New Roman" w:eastAsia="Times New Roman" w:hAnsi="Times New Roman" w:cs="Times New Roman"/>
                <w:sz w:val="24"/>
                <w:szCs w:val="24"/>
                <w:lang w:eastAsia="fr-FR"/>
              </w:rPr>
            </w:pPr>
          </w:p>
        </w:tc>
      </w:tr>
    </w:tbl>
    <w:p w14:paraId="629A2E30" w14:textId="77777777" w:rsidR="00F73828" w:rsidRPr="00F73828" w:rsidRDefault="00F73828" w:rsidP="00F73828">
      <w:pPr>
        <w:spacing w:after="240" w:line="240" w:lineRule="auto"/>
        <w:jc w:val="center"/>
        <w:rPr>
          <w:rFonts w:ascii="Times New Roman" w:eastAsia="Times New Roman" w:hAnsi="Times New Roman" w:cs="Times New Roman"/>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0466"/>
      </w:tblGrid>
      <w:tr w:rsidR="00F73828" w:rsidRPr="00F73828" w14:paraId="706E7761" w14:textId="77777777" w:rsidTr="00F73828">
        <w:trPr>
          <w:jc w:val="center"/>
        </w:trPr>
        <w:tc>
          <w:tcPr>
            <w:tcW w:w="0" w:type="auto"/>
            <w:tcMar>
              <w:top w:w="0" w:type="dxa"/>
              <w:left w:w="225" w:type="dxa"/>
              <w:bottom w:w="150" w:type="dxa"/>
              <w:right w:w="0" w:type="dxa"/>
            </w:tcMar>
            <w:vAlign w:val="center"/>
            <w:hideMark/>
          </w:tcPr>
          <w:p w14:paraId="4FEAD80E" w14:textId="77777777" w:rsidR="00F73828" w:rsidRPr="00F73828" w:rsidRDefault="00F73828" w:rsidP="00F73828">
            <w:pPr>
              <w:spacing w:after="0" w:line="240" w:lineRule="auto"/>
              <w:jc w:val="center"/>
              <w:rPr>
                <w:rFonts w:ascii="Arial" w:eastAsia="Times New Roman" w:hAnsi="Arial" w:cs="Arial"/>
                <w:color w:val="484848"/>
                <w:sz w:val="17"/>
                <w:szCs w:val="17"/>
                <w:lang w:eastAsia="fr-FR"/>
              </w:rPr>
            </w:pPr>
            <w:r w:rsidRPr="00F73828">
              <w:rPr>
                <w:rFonts w:ascii="Arial" w:eastAsia="Times New Roman" w:hAnsi="Arial" w:cs="Arial"/>
                <w:color w:val="484848"/>
                <w:sz w:val="17"/>
                <w:szCs w:val="17"/>
                <w:lang w:eastAsia="fr-FR"/>
              </w:rPr>
              <w:t>Vous recevez ce mail car vous avez accepté de recevoir les nouvelles de votre association locale.</w:t>
            </w:r>
            <w:r w:rsidRPr="00F73828">
              <w:rPr>
                <w:rFonts w:ascii="Arial" w:eastAsia="Times New Roman" w:hAnsi="Arial" w:cs="Arial"/>
                <w:color w:val="484848"/>
                <w:sz w:val="17"/>
                <w:szCs w:val="17"/>
                <w:lang w:eastAsia="fr-FR"/>
              </w:rPr>
              <w:br/>
              <w:t xml:space="preserve">Pour ne plus recevoir ce type d'envois : </w:t>
            </w:r>
            <w:hyperlink r:id="rId8" w:anchor="Mon%20association%20locale" w:tgtFrame="_blank" w:history="1">
              <w:r w:rsidRPr="00F73828">
                <w:rPr>
                  <w:rFonts w:ascii="Arial" w:eastAsia="Times New Roman" w:hAnsi="Arial" w:cs="Arial"/>
                  <w:color w:val="2A74BF"/>
                  <w:sz w:val="17"/>
                  <w:szCs w:val="17"/>
                  <w:u w:val="single"/>
                  <w:lang w:eastAsia="fr-FR"/>
                </w:rPr>
                <w:t>désinscription (gérer vos consentements)</w:t>
              </w:r>
            </w:hyperlink>
            <w:r w:rsidRPr="00F73828">
              <w:rPr>
                <w:rFonts w:ascii="Arial" w:eastAsia="Times New Roman" w:hAnsi="Arial" w:cs="Arial"/>
                <w:color w:val="484848"/>
                <w:sz w:val="17"/>
                <w:szCs w:val="17"/>
                <w:lang w:eastAsia="fr-FR"/>
              </w:rPr>
              <w:t xml:space="preserve">. </w:t>
            </w:r>
          </w:p>
          <w:p w14:paraId="7F6F6B25" w14:textId="77777777" w:rsidR="00F73828" w:rsidRPr="00F73828" w:rsidRDefault="00F73828" w:rsidP="00F73828">
            <w:pPr>
              <w:spacing w:before="100" w:beforeAutospacing="1" w:after="100" w:afterAutospacing="1" w:line="240" w:lineRule="auto"/>
              <w:jc w:val="center"/>
              <w:outlineLvl w:val="3"/>
              <w:rPr>
                <w:rFonts w:ascii="Arial" w:eastAsia="Times New Roman" w:hAnsi="Arial" w:cs="Arial"/>
                <w:b/>
                <w:bCs/>
                <w:color w:val="484848"/>
                <w:sz w:val="24"/>
                <w:szCs w:val="24"/>
                <w:lang w:eastAsia="fr-FR"/>
              </w:rPr>
            </w:pPr>
            <w:hyperlink r:id="rId9" w:tooltip="UFC-Que Choisir" w:history="1">
              <w:r w:rsidRPr="00F73828">
                <w:rPr>
                  <w:rFonts w:ascii="Arial" w:eastAsia="Times New Roman" w:hAnsi="Arial" w:cs="Arial"/>
                  <w:b/>
                  <w:bCs/>
                  <w:color w:val="0000FF"/>
                  <w:sz w:val="24"/>
                  <w:szCs w:val="24"/>
                  <w:u w:val="single"/>
                  <w:lang w:eastAsia="fr-FR"/>
                </w:rPr>
                <w:t>UFC-Que Choisir</w:t>
              </w:r>
            </w:hyperlink>
            <w:r w:rsidRPr="00F73828">
              <w:rPr>
                <w:rFonts w:ascii="Arial" w:eastAsia="Times New Roman" w:hAnsi="Arial" w:cs="Arial"/>
                <w:b/>
                <w:bCs/>
                <w:color w:val="484848"/>
                <w:sz w:val="24"/>
                <w:szCs w:val="24"/>
                <w:lang w:eastAsia="fr-FR"/>
              </w:rPr>
              <w:t xml:space="preserve"> 6 Rue du 8 mai 1945 BP 186 40004 MONT DE MARSAN</w:t>
            </w:r>
            <w:r w:rsidRPr="00F73828">
              <w:rPr>
                <w:rFonts w:ascii="Arial" w:eastAsia="Times New Roman" w:hAnsi="Arial" w:cs="Arial"/>
                <w:b/>
                <w:bCs/>
                <w:color w:val="484848"/>
                <w:sz w:val="24"/>
                <w:szCs w:val="24"/>
                <w:lang w:eastAsia="fr-FR"/>
              </w:rPr>
              <w:br/>
              <w:t xml:space="preserve">contact@montdemarsan.ufcquechoisir.fr - 0558059288 </w:t>
            </w:r>
          </w:p>
        </w:tc>
      </w:tr>
    </w:tbl>
    <w:p w14:paraId="58E6B7B4" w14:textId="4BC936E4" w:rsidR="00F73828" w:rsidRPr="00F73828" w:rsidRDefault="00F73828" w:rsidP="00F73828">
      <w:pPr>
        <w:spacing w:after="100" w:line="240" w:lineRule="auto"/>
        <w:rPr>
          <w:rFonts w:ascii="Times New Roman" w:eastAsia="Times New Roman" w:hAnsi="Times New Roman" w:cs="Times New Roman"/>
          <w:sz w:val="24"/>
          <w:szCs w:val="24"/>
          <w:lang w:eastAsia="fr-FR"/>
        </w:rPr>
      </w:pPr>
      <w:r w:rsidRPr="00F73828">
        <w:rPr>
          <w:rFonts w:ascii="Times New Roman" w:eastAsia="Times New Roman" w:hAnsi="Times New Roman" w:cs="Times New Roman"/>
          <w:sz w:val="24"/>
          <w:szCs w:val="24"/>
          <w:lang w:eastAsia="fr-FR"/>
        </w:rPr>
        <w:br/>
      </w:r>
      <w:r w:rsidRPr="00F73828">
        <w:rPr>
          <w:rFonts w:ascii="Times New Roman" w:eastAsia="Times New Roman" w:hAnsi="Times New Roman" w:cs="Times New Roman"/>
          <w:noProof/>
          <w:sz w:val="24"/>
          <w:szCs w:val="24"/>
          <w:lang w:eastAsia="fr-FR"/>
        </w:rPr>
        <w:drawing>
          <wp:inline distT="0" distB="0" distL="0" distR="0" wp14:anchorId="369D37E2" wp14:editId="08E1716E">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DF1990" w14:textId="77777777" w:rsidR="00F73828" w:rsidRDefault="00F73828"/>
    <w:sectPr w:rsidR="00F73828" w:rsidSect="00F73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28"/>
    <w:rsid w:val="009A7C59"/>
    <w:rsid w:val="00DF457B"/>
    <w:rsid w:val="00F73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9371"/>
  <w15:chartTrackingRefBased/>
  <w15:docId w15:val="{CC06FB4F-ACB7-4B7C-A444-090B9D73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73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7382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7382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7382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738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73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65991">
      <w:bodyDiv w:val="1"/>
      <w:marLeft w:val="0"/>
      <w:marRight w:val="0"/>
      <w:marTop w:val="0"/>
      <w:marBottom w:val="0"/>
      <w:divBdr>
        <w:top w:val="none" w:sz="0" w:space="0" w:color="auto"/>
        <w:left w:val="none" w:sz="0" w:space="0" w:color="auto"/>
        <w:bottom w:val="none" w:sz="0" w:space="0" w:color="auto"/>
        <w:right w:val="none" w:sz="0" w:space="0" w:color="auto"/>
      </w:divBdr>
      <w:divsChild>
        <w:div w:id="523371633">
          <w:marLeft w:val="0"/>
          <w:marRight w:val="0"/>
          <w:marTop w:val="0"/>
          <w:marBottom w:val="0"/>
          <w:divBdr>
            <w:top w:val="none" w:sz="0" w:space="0" w:color="auto"/>
            <w:left w:val="none" w:sz="0" w:space="0" w:color="auto"/>
            <w:bottom w:val="none" w:sz="0" w:space="0" w:color="auto"/>
            <w:right w:val="none" w:sz="0" w:space="0" w:color="auto"/>
          </w:divBdr>
        </w:div>
        <w:div w:id="112442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43363">
              <w:marLeft w:val="0"/>
              <w:marRight w:val="0"/>
              <w:marTop w:val="0"/>
              <w:marBottom w:val="0"/>
              <w:divBdr>
                <w:top w:val="single" w:sz="6" w:space="0" w:color="D4D4D4"/>
                <w:left w:val="single" w:sz="6" w:space="0" w:color="D4D4D4"/>
                <w:bottom w:val="single" w:sz="6" w:space="0" w:color="D4D4D4"/>
                <w:right w:val="single" w:sz="6" w:space="0" w:color="D4D4D4"/>
              </w:divBdr>
            </w:div>
          </w:divsChild>
        </w:div>
        <w:div w:id="53196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880811">
              <w:marLeft w:val="0"/>
              <w:marRight w:val="0"/>
              <w:marTop w:val="0"/>
              <w:marBottom w:val="0"/>
              <w:divBdr>
                <w:top w:val="single" w:sz="6" w:space="0" w:color="D4D4D4"/>
                <w:left w:val="single" w:sz="6" w:space="0" w:color="D4D4D4"/>
                <w:bottom w:val="single" w:sz="6" w:space="0" w:color="D4D4D4"/>
                <w:right w:val="single" w:sz="6" w:space="0" w:color="D4D4D4"/>
              </w:divBdr>
            </w:div>
            <w:div w:id="13294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ail.ufc-quechoisir.org/lnk/EAAAAW0AdqQAAcpyWdAAAG43nlcAAABHbkgAAAAAAAqj_wBgF9nHNIJcoUy5TgmueNTgGP6JbAAJ1Y8/5/YtFM-h9bc8kVMh9seOPT8g/aHR0cHM6Ly9tYy5xdWVjaG9pc2lyLm9yZy9hY2NvdW50L3ByZWZlcmVuY2VzP3RpY2tldD1WQm1SMnUyWTVpcC53MVM1QXgyeWUuUjdmOUlTS0E5bjJGcnlxNTdVSmJIalNLTnVOZjdVTHAyaSNNb24lMjBhc3NvY2lhdGlvbiUyMGxvY2FsZQ" TargetMode="External"/><Relationship Id="rId3" Type="http://schemas.openxmlformats.org/officeDocument/2006/relationships/webSettings" Target="webSettings.xml"/><Relationship Id="rId7" Type="http://schemas.openxmlformats.org/officeDocument/2006/relationships/hyperlink" Target="https://go.mail.ufc-quechoisir.org/lnk/EAAAAW0AdqQAAcpyWdAAAG43nlcAAABHbkgAAAAAAAqj_wBgF9nHNIJcoUy5TgmueNTgGP6JbAAJ1Y8/4/bbT0ICBPoqx3Ou5Qv2UlTA/aHR0cHM6Ly93d3cucXVlY2hvaXNpci5vcmcvYWN0dWFsaXRlLWFzc3VyYW5jZS12aWUtbGUtcGFsbWFyZXMtZGVzLXRhdXgtZGUtcmVuZGVtZW50LTIwMTgtbjYzMzU5L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mail.ufc-quechoisir.org/lnk/EAAAAW0AdqQAAcpyWdAAAG43nlcAAABHbkgAAAAAAAqj_wBgF9nHNIJcoUy5TgmueNTgGP6JbAAJ1Y8/3/OHmc6D4DbWAPrh8qJmoLoQ/aHR0cHM6Ly93d3cucXVlY2hvaXNpci5vcmcvYWN0dWFsaXRlLWFzc3VyYW5jZS12aWUtbGUtcGFsbWFyZXMtZGVzLXRhdXgtZGUtcmVuZGVtZW50LTIwMTktbjc1Mzc5Lw" TargetMode="External"/><Relationship Id="rId11" Type="http://schemas.openxmlformats.org/officeDocument/2006/relationships/fontTable" Target="fontTable.xml"/><Relationship Id="rId5" Type="http://schemas.openxmlformats.org/officeDocument/2006/relationships/hyperlink" Target="https://go.mail.ufc-quechoisir.org/lnk/EAAAAW0AdqQAAcpyWdAAAG43nlcAAABHbkgAAAAAAAqj_wBgF9nHNIJcoUy5TgmueNTgGP6JbAAJ1Y8/2/xrWbaHv_K6n0pnaBeLMgwQ/aHR0cHM6Ly93d3cucXVlY2hvaXNpci5vcmcvZG9zc2llci1jb3JvbmF2aXJ1cy1jb3ZpZC0xOS10MjY0Ny8" TargetMode="External"/><Relationship Id="rId10"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hyperlink" Target="https://go.mail.ufc-quechoisir.org/lnk/EAAAAW0AdqQAAcpyWdAAAG43nlcAAABHbkgAAAAAAAqj_wBgF9nHNIJcoUy5TgmueNTgGP6JbAAJ1Y8/6/BGV5JwXKvGvST7Wnu3F8DQ/aHR0cHM6Ly9tb250ZGVtYXJzYW4udWZjcXVlY2hvaXNpci5mc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718</Words>
  <Characters>3953</Characters>
  <Application>Microsoft Office Word</Application>
  <DocSecurity>0</DocSecurity>
  <Lines>32</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BERTHE</dc:creator>
  <cp:keywords/>
  <dc:description/>
  <cp:lastModifiedBy>Jean-Claude BERTHE</cp:lastModifiedBy>
  <cp:revision>3</cp:revision>
  <cp:lastPrinted>2021-02-01T14:03:00Z</cp:lastPrinted>
  <dcterms:created xsi:type="dcterms:W3CDTF">2021-02-01T13:43:00Z</dcterms:created>
  <dcterms:modified xsi:type="dcterms:W3CDTF">2021-02-01T14:04:00Z</dcterms:modified>
</cp:coreProperties>
</file>